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91D72" w14:textId="77777777" w:rsidR="00E9567A" w:rsidRDefault="00E9567A" w:rsidP="00BA720F">
      <w:pPr>
        <w:pStyle w:val="NoSpacing"/>
      </w:pPr>
    </w:p>
    <w:p w14:paraId="6692F992" w14:textId="5D14661D" w:rsidR="00861466" w:rsidRPr="00CC75AE" w:rsidRDefault="00FD5B6D" w:rsidP="00CC75AE">
      <w:pPr>
        <w:pStyle w:val="Heading2"/>
        <w:pBdr>
          <w:bottom w:val="single" w:sz="4" w:space="1" w:color="auto"/>
        </w:pBdr>
        <w:rPr>
          <w:rFonts w:asciiTheme="minorHAnsi" w:hAnsiTheme="minorHAnsi" w:cstheme="minorHAnsi"/>
        </w:rPr>
      </w:pPr>
      <w:r>
        <w:rPr>
          <w:noProof/>
        </w:rPr>
        <mc:AlternateContent>
          <mc:Choice Requires="wps">
            <w:drawing>
              <wp:anchor distT="45720" distB="45720" distL="114300" distR="114300" simplePos="0" relativeHeight="251659264" behindDoc="0" locked="0" layoutInCell="1" allowOverlap="1" wp14:anchorId="1040DDB1" wp14:editId="6C13AEB5">
                <wp:simplePos x="0" y="0"/>
                <wp:positionH relativeFrom="margin">
                  <wp:posOffset>0</wp:posOffset>
                </wp:positionH>
                <wp:positionV relativeFrom="paragraph">
                  <wp:posOffset>443230</wp:posOffset>
                </wp:positionV>
                <wp:extent cx="5505450" cy="1909445"/>
                <wp:effectExtent l="0" t="0" r="1905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909445"/>
                        </a:xfrm>
                        <a:prstGeom prst="rect">
                          <a:avLst/>
                        </a:prstGeom>
                        <a:solidFill>
                          <a:srgbClr val="FFFFFF"/>
                        </a:solidFill>
                        <a:ln w="9525">
                          <a:solidFill>
                            <a:srgbClr val="000000"/>
                          </a:solidFill>
                          <a:miter lim="800000"/>
                          <a:headEnd/>
                          <a:tailEnd/>
                        </a:ln>
                      </wps:spPr>
                      <wps:txbx>
                        <w:txbxContent>
                          <w:p w14:paraId="0CACF5CD" w14:textId="77777777" w:rsidR="00FD5B6D" w:rsidRDefault="008F16C4" w:rsidP="008F16C4">
                            <w:pPr>
                              <w:shd w:val="clear" w:color="auto" w:fill="D9E2F3" w:themeFill="accent1" w:themeFillTint="33"/>
                              <w:rPr>
                                <w:b/>
                                <w:sz w:val="18"/>
                                <w:szCs w:val="18"/>
                              </w:rPr>
                            </w:pPr>
                            <w:r w:rsidRPr="00FD5B6D">
                              <w:rPr>
                                <w:b/>
                                <w:sz w:val="18"/>
                                <w:szCs w:val="18"/>
                              </w:rPr>
                              <w:t>Instructions</w:t>
                            </w:r>
                          </w:p>
                          <w:p w14:paraId="10A9E769" w14:textId="68B097BC" w:rsidR="00D035CD" w:rsidRDefault="00D035CD" w:rsidP="00AB634B">
                            <w:pPr>
                              <w:shd w:val="clear" w:color="auto" w:fill="D9E2F3" w:themeFill="accent1" w:themeFillTint="33"/>
                              <w:rPr>
                                <w:sz w:val="18"/>
                                <w:szCs w:val="18"/>
                              </w:rPr>
                            </w:pPr>
                            <w:r>
                              <w:rPr>
                                <w:sz w:val="18"/>
                                <w:szCs w:val="18"/>
                              </w:rPr>
                              <w:t>On company letterhead</w:t>
                            </w:r>
                            <w:r w:rsidR="00AD25CD">
                              <w:rPr>
                                <w:sz w:val="18"/>
                                <w:szCs w:val="18"/>
                              </w:rPr>
                              <w:t>.</w:t>
                            </w:r>
                          </w:p>
                          <w:p w14:paraId="024300E3" w14:textId="66F98ADF" w:rsidR="00AB634B" w:rsidRDefault="00AB634B" w:rsidP="00AB634B">
                            <w:pPr>
                              <w:shd w:val="clear" w:color="auto" w:fill="D9E2F3" w:themeFill="accent1" w:themeFillTint="33"/>
                              <w:rPr>
                                <w:sz w:val="18"/>
                                <w:szCs w:val="18"/>
                              </w:rPr>
                            </w:pPr>
                            <w:r w:rsidRPr="0088067C">
                              <w:rPr>
                                <w:sz w:val="18"/>
                                <w:szCs w:val="18"/>
                              </w:rPr>
                              <w:t xml:space="preserve">A Conflict of </w:t>
                            </w:r>
                            <w:r>
                              <w:rPr>
                                <w:sz w:val="18"/>
                                <w:szCs w:val="18"/>
                              </w:rPr>
                              <w:t>I</w:t>
                            </w:r>
                            <w:r w:rsidRPr="0088067C">
                              <w:rPr>
                                <w:sz w:val="18"/>
                                <w:szCs w:val="18"/>
                              </w:rPr>
                              <w:t xml:space="preserve">nterest Policy assists </w:t>
                            </w:r>
                            <w:r>
                              <w:rPr>
                                <w:sz w:val="18"/>
                                <w:szCs w:val="18"/>
                              </w:rPr>
                              <w:t xml:space="preserve">a </w:t>
                            </w:r>
                            <w:r w:rsidRPr="0088067C">
                              <w:rPr>
                                <w:sz w:val="18"/>
                                <w:szCs w:val="18"/>
                              </w:rPr>
                              <w:t xml:space="preserve">company to </w:t>
                            </w:r>
                            <w:r>
                              <w:rPr>
                                <w:sz w:val="18"/>
                                <w:szCs w:val="18"/>
                              </w:rPr>
                              <w:t>protect its reputation, clarif</w:t>
                            </w:r>
                            <w:r w:rsidR="00884C8D">
                              <w:rPr>
                                <w:sz w:val="18"/>
                                <w:szCs w:val="18"/>
                              </w:rPr>
                              <w:t>y</w:t>
                            </w:r>
                            <w:r>
                              <w:rPr>
                                <w:sz w:val="18"/>
                                <w:szCs w:val="18"/>
                              </w:rPr>
                              <w:t xml:space="preserve"> expectations and standards </w:t>
                            </w:r>
                            <w:r w:rsidR="00884C8D">
                              <w:rPr>
                                <w:sz w:val="18"/>
                                <w:szCs w:val="18"/>
                              </w:rPr>
                              <w:t>required from</w:t>
                            </w:r>
                            <w:r>
                              <w:rPr>
                                <w:sz w:val="18"/>
                                <w:szCs w:val="18"/>
                              </w:rPr>
                              <w:t xml:space="preserve"> employees, and mitigate possible legal liability associated with conflicts of interest.</w:t>
                            </w:r>
                          </w:p>
                          <w:p w14:paraId="4E79AE63" w14:textId="76F775E6" w:rsidR="00AB634B" w:rsidRDefault="00AB634B" w:rsidP="00AB634B">
                            <w:pPr>
                              <w:shd w:val="clear" w:color="auto" w:fill="D9E2F3" w:themeFill="accent1" w:themeFillTint="33"/>
                              <w:rPr>
                                <w:sz w:val="18"/>
                                <w:szCs w:val="18"/>
                              </w:rPr>
                            </w:pPr>
                            <w:r>
                              <w:rPr>
                                <w:sz w:val="18"/>
                                <w:szCs w:val="18"/>
                              </w:rPr>
                              <w:t xml:space="preserve">Customise this template to your </w:t>
                            </w:r>
                            <w:r w:rsidR="00F63F93">
                              <w:rPr>
                                <w:sz w:val="18"/>
                                <w:szCs w:val="18"/>
                              </w:rPr>
                              <w:t>c</w:t>
                            </w:r>
                            <w:r>
                              <w:rPr>
                                <w:sz w:val="18"/>
                                <w:szCs w:val="18"/>
                              </w:rPr>
                              <w:t>ompany’s specific requirements.</w:t>
                            </w:r>
                          </w:p>
                          <w:p w14:paraId="2D23F0BF" w14:textId="77777777" w:rsidR="00AB634B" w:rsidRDefault="00AB634B" w:rsidP="00AB634B">
                            <w:pPr>
                              <w:shd w:val="clear" w:color="auto" w:fill="D9E2F3" w:themeFill="accent1" w:themeFillTint="33"/>
                              <w:rPr>
                                <w:sz w:val="18"/>
                                <w:szCs w:val="18"/>
                              </w:rPr>
                            </w:pPr>
                            <w:r>
                              <w:rPr>
                                <w:sz w:val="18"/>
                                <w:szCs w:val="18"/>
                              </w:rPr>
                              <w:t>This policy should be read in conjunction, and applied with, a contract of employment and any other relevant company policies and processes.</w:t>
                            </w:r>
                          </w:p>
                          <w:p w14:paraId="56D78EA0" w14:textId="77777777" w:rsidR="00AB634B" w:rsidRPr="0088067C" w:rsidRDefault="00AB634B" w:rsidP="00AB634B">
                            <w:pPr>
                              <w:shd w:val="clear" w:color="auto" w:fill="D9E2F3" w:themeFill="accent1" w:themeFillTint="33"/>
                              <w:rPr>
                                <w:sz w:val="18"/>
                                <w:szCs w:val="18"/>
                              </w:rPr>
                            </w:pPr>
                            <w:r>
                              <w:rPr>
                                <w:sz w:val="18"/>
                                <w:szCs w:val="18"/>
                              </w:rPr>
                              <w:t>If conflict issues arise in your workplace, contact TRMC for assistance.</w:t>
                            </w:r>
                          </w:p>
                          <w:p w14:paraId="47181009" w14:textId="77777777" w:rsidR="008F16C4" w:rsidRDefault="008F16C4" w:rsidP="00AB634B">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0DDB1" id="_x0000_t202" coordsize="21600,21600" o:spt="202" path="m,l,21600r21600,l21600,xe">
                <v:stroke joinstyle="miter"/>
                <v:path gradientshapeok="t" o:connecttype="rect"/>
              </v:shapetype>
              <v:shape id="Text Box 2" o:spid="_x0000_s1026" type="#_x0000_t202" style="position:absolute;margin-left:0;margin-top:34.9pt;width:433.5pt;height:150.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">
                <v:textbox>
                  <w:txbxContent>
                    <w:p w14:paraId="0CACF5CD" w14:textId="77777777" w:rsidR="00FD5B6D" w:rsidRDefault="008F16C4" w:rsidP="008F16C4">
                      <w:pPr>
                        <w:shd w:val="clear" w:color="auto" w:fill="D9E2F3" w:themeFill="accent1" w:themeFillTint="33"/>
                        <w:rPr>
                          <w:b/>
                          <w:sz w:val="18"/>
                          <w:szCs w:val="18"/>
                        </w:rPr>
                      </w:pPr>
                      <w:r w:rsidRPr="00FD5B6D">
                        <w:rPr>
                          <w:b/>
                          <w:sz w:val="18"/>
                          <w:szCs w:val="18"/>
                        </w:rPr>
                        <w:t>Instructions</w:t>
                      </w:r>
                    </w:p>
                    <w:p w14:paraId="10A9E769" w14:textId="68B097BC" w:rsidR="00D035CD" w:rsidRDefault="00D035CD" w:rsidP="00AB634B">
                      <w:pPr>
                        <w:shd w:val="clear" w:color="auto" w:fill="D9E2F3" w:themeFill="accent1" w:themeFillTint="33"/>
                        <w:rPr>
                          <w:sz w:val="18"/>
                          <w:szCs w:val="18"/>
                        </w:rPr>
                      </w:pPr>
                      <w:r>
                        <w:rPr>
                          <w:sz w:val="18"/>
                          <w:szCs w:val="18"/>
                        </w:rPr>
                        <w:t>On company letterhead</w:t>
                      </w:r>
                      <w:r w:rsidR="00AD25CD">
                        <w:rPr>
                          <w:sz w:val="18"/>
                          <w:szCs w:val="18"/>
                        </w:rPr>
                        <w:t>.</w:t>
                      </w:r>
                    </w:p>
                    <w:p w14:paraId="024300E3" w14:textId="66F98ADF" w:rsidR="00AB634B" w:rsidRDefault="00AB634B" w:rsidP="00AB634B">
                      <w:pPr>
                        <w:shd w:val="clear" w:color="auto" w:fill="D9E2F3" w:themeFill="accent1" w:themeFillTint="33"/>
                        <w:rPr>
                          <w:sz w:val="18"/>
                          <w:szCs w:val="18"/>
                        </w:rPr>
                      </w:pPr>
                      <w:r w:rsidRPr="0088067C">
                        <w:rPr>
                          <w:sz w:val="18"/>
                          <w:szCs w:val="18"/>
                        </w:rPr>
                        <w:t xml:space="preserve">A Conflict of </w:t>
                      </w:r>
                      <w:r>
                        <w:rPr>
                          <w:sz w:val="18"/>
                          <w:szCs w:val="18"/>
                        </w:rPr>
                        <w:t>I</w:t>
                      </w:r>
                      <w:r w:rsidRPr="0088067C">
                        <w:rPr>
                          <w:sz w:val="18"/>
                          <w:szCs w:val="18"/>
                        </w:rPr>
                        <w:t xml:space="preserve">nterest Policy assists </w:t>
                      </w:r>
                      <w:r>
                        <w:rPr>
                          <w:sz w:val="18"/>
                          <w:szCs w:val="18"/>
                        </w:rPr>
                        <w:t xml:space="preserve">a </w:t>
                      </w:r>
                      <w:r w:rsidRPr="0088067C">
                        <w:rPr>
                          <w:sz w:val="18"/>
                          <w:szCs w:val="18"/>
                        </w:rPr>
                        <w:t xml:space="preserve">company to </w:t>
                      </w:r>
                      <w:r>
                        <w:rPr>
                          <w:sz w:val="18"/>
                          <w:szCs w:val="18"/>
                        </w:rPr>
                        <w:t>protect its reputation, clarif</w:t>
                      </w:r>
                      <w:r w:rsidR="00884C8D">
                        <w:rPr>
                          <w:sz w:val="18"/>
                          <w:szCs w:val="18"/>
                        </w:rPr>
                        <w:t>y</w:t>
                      </w:r>
                      <w:r>
                        <w:rPr>
                          <w:sz w:val="18"/>
                          <w:szCs w:val="18"/>
                        </w:rPr>
                        <w:t xml:space="preserve"> expectations and standards </w:t>
                      </w:r>
                      <w:r w:rsidR="00884C8D">
                        <w:rPr>
                          <w:sz w:val="18"/>
                          <w:szCs w:val="18"/>
                        </w:rPr>
                        <w:t>required from</w:t>
                      </w:r>
                      <w:r>
                        <w:rPr>
                          <w:sz w:val="18"/>
                          <w:szCs w:val="18"/>
                        </w:rPr>
                        <w:t xml:space="preserve"> employees, and mitigate possible legal liability associated with conflicts of interest.</w:t>
                      </w:r>
                    </w:p>
                    <w:p w14:paraId="4E79AE63" w14:textId="76F775E6" w:rsidR="00AB634B" w:rsidRDefault="00AB634B" w:rsidP="00AB634B">
                      <w:pPr>
                        <w:shd w:val="clear" w:color="auto" w:fill="D9E2F3" w:themeFill="accent1" w:themeFillTint="33"/>
                        <w:rPr>
                          <w:sz w:val="18"/>
                          <w:szCs w:val="18"/>
                        </w:rPr>
                      </w:pPr>
                      <w:r>
                        <w:rPr>
                          <w:sz w:val="18"/>
                          <w:szCs w:val="18"/>
                        </w:rPr>
                        <w:t xml:space="preserve">Customise this template to your </w:t>
                      </w:r>
                      <w:r w:rsidR="00F63F93">
                        <w:rPr>
                          <w:sz w:val="18"/>
                          <w:szCs w:val="18"/>
                        </w:rPr>
                        <w:t>c</w:t>
                      </w:r>
                      <w:r>
                        <w:rPr>
                          <w:sz w:val="18"/>
                          <w:szCs w:val="18"/>
                        </w:rPr>
                        <w:t>ompany’s specific requirements.</w:t>
                      </w:r>
                    </w:p>
                    <w:p w14:paraId="2D23F0BF" w14:textId="77777777" w:rsidR="00AB634B" w:rsidRDefault="00AB634B" w:rsidP="00AB634B">
                      <w:pPr>
                        <w:shd w:val="clear" w:color="auto" w:fill="D9E2F3" w:themeFill="accent1" w:themeFillTint="33"/>
                        <w:rPr>
                          <w:sz w:val="18"/>
                          <w:szCs w:val="18"/>
                        </w:rPr>
                      </w:pPr>
                      <w:r>
                        <w:rPr>
                          <w:sz w:val="18"/>
                          <w:szCs w:val="18"/>
                        </w:rPr>
                        <w:t>This policy should be read in conjunction, and applied with, a contract of employment and any other relevant company policies and processes.</w:t>
                      </w:r>
                    </w:p>
                    <w:p w14:paraId="56D78EA0" w14:textId="77777777" w:rsidR="00AB634B" w:rsidRPr="0088067C" w:rsidRDefault="00AB634B" w:rsidP="00AB634B">
                      <w:pPr>
                        <w:shd w:val="clear" w:color="auto" w:fill="D9E2F3" w:themeFill="accent1" w:themeFillTint="33"/>
                        <w:rPr>
                          <w:sz w:val="18"/>
                          <w:szCs w:val="18"/>
                        </w:rPr>
                      </w:pPr>
                      <w:r>
                        <w:rPr>
                          <w:sz w:val="18"/>
                          <w:szCs w:val="18"/>
                        </w:rPr>
                        <w:t>If conflict issues arise in your workplace, contact TRMC for assistance.</w:t>
                      </w:r>
                    </w:p>
                    <w:p w14:paraId="47181009" w14:textId="77777777" w:rsidR="008F16C4" w:rsidRDefault="008F16C4" w:rsidP="00AB634B">
                      <w:pPr>
                        <w:shd w:val="clear" w:color="auto" w:fill="D9E2F3" w:themeFill="accent1" w:themeFillTint="33"/>
                      </w:pPr>
                    </w:p>
                  </w:txbxContent>
                </v:textbox>
                <w10:wrap type="square" anchorx="margin"/>
              </v:shape>
            </w:pict>
          </mc:Fallback>
        </mc:AlternateContent>
      </w:r>
      <w:r w:rsidR="00AB634B">
        <w:rPr>
          <w:rFonts w:asciiTheme="minorHAnsi" w:hAnsiTheme="minorHAnsi" w:cstheme="minorHAnsi"/>
          <w:color w:val="auto"/>
          <w:sz w:val="32"/>
          <w:szCs w:val="32"/>
        </w:rPr>
        <w:t>Conflict of Interest</w:t>
      </w:r>
      <w:r>
        <w:rPr>
          <w:rFonts w:asciiTheme="minorHAnsi" w:hAnsiTheme="minorHAnsi" w:cstheme="minorHAnsi"/>
          <w:color w:val="auto"/>
          <w:sz w:val="32"/>
          <w:szCs w:val="32"/>
        </w:rPr>
        <w:t xml:space="preserve"> </w:t>
      </w:r>
      <w:r w:rsidR="009703C4">
        <w:rPr>
          <w:rFonts w:asciiTheme="minorHAnsi" w:hAnsiTheme="minorHAnsi" w:cstheme="minorHAnsi"/>
          <w:color w:val="auto"/>
          <w:sz w:val="32"/>
          <w:szCs w:val="32"/>
        </w:rPr>
        <w:t xml:space="preserve">Policy </w:t>
      </w:r>
      <w:r>
        <w:rPr>
          <w:rFonts w:asciiTheme="minorHAnsi" w:hAnsiTheme="minorHAnsi" w:cstheme="minorHAnsi"/>
          <w:color w:val="auto"/>
          <w:sz w:val="32"/>
          <w:szCs w:val="32"/>
        </w:rPr>
        <w:t>– template</w:t>
      </w:r>
    </w:p>
    <w:p w14:paraId="28AC3385" w14:textId="77777777" w:rsidR="008F16C4" w:rsidRPr="008F16C4" w:rsidRDefault="008F16C4" w:rsidP="00CC75AE">
      <w:pPr>
        <w:pStyle w:val="NoSpacing"/>
        <w:rPr>
          <w:iCs/>
        </w:rPr>
      </w:pPr>
    </w:p>
    <w:p w14:paraId="6FACFD3E" w14:textId="1A3A389B" w:rsidR="009703C4" w:rsidRPr="00D035CD" w:rsidRDefault="009703C4" w:rsidP="009703C4">
      <w:pPr>
        <w:rPr>
          <w:sz w:val="28"/>
          <w:szCs w:val="28"/>
        </w:rPr>
      </w:pPr>
      <w:r>
        <w:rPr>
          <w:sz w:val="28"/>
          <w:szCs w:val="28"/>
        </w:rPr>
        <w:t>[</w:t>
      </w:r>
      <w:r w:rsidRPr="008F12BF">
        <w:rPr>
          <w:i/>
          <w:sz w:val="28"/>
          <w:szCs w:val="28"/>
        </w:rPr>
        <w:t>Company name</w:t>
      </w:r>
      <w:r>
        <w:rPr>
          <w:sz w:val="28"/>
          <w:szCs w:val="28"/>
        </w:rPr>
        <w:t>]</w:t>
      </w:r>
      <w:r w:rsidRPr="008F12BF">
        <w:rPr>
          <w:sz w:val="28"/>
          <w:szCs w:val="28"/>
        </w:rPr>
        <w:t xml:space="preserve"> </w:t>
      </w:r>
      <w:r w:rsidR="00AB634B">
        <w:rPr>
          <w:sz w:val="28"/>
          <w:szCs w:val="28"/>
        </w:rPr>
        <w:t>–</w:t>
      </w:r>
      <w:r w:rsidRPr="008F12BF">
        <w:rPr>
          <w:sz w:val="28"/>
          <w:szCs w:val="28"/>
        </w:rPr>
        <w:t xml:space="preserve"> </w:t>
      </w:r>
      <w:r w:rsidR="00AB634B">
        <w:rPr>
          <w:sz w:val="28"/>
          <w:szCs w:val="28"/>
        </w:rPr>
        <w:t>Conflict of Interest Policy</w:t>
      </w:r>
      <w:r w:rsidRPr="008F12BF">
        <w:rPr>
          <w:sz w:val="28"/>
          <w:szCs w:val="28"/>
        </w:rPr>
        <w:t xml:space="preserve"> </w:t>
      </w:r>
    </w:p>
    <w:p w14:paraId="692774BC" w14:textId="77777777" w:rsidR="00AB634B" w:rsidRDefault="00AB634B" w:rsidP="00AB634B">
      <w:pPr>
        <w:rPr>
          <w:b/>
          <w:sz w:val="24"/>
          <w:szCs w:val="24"/>
        </w:rPr>
      </w:pPr>
      <w:r w:rsidRPr="00AB634B">
        <w:rPr>
          <w:b/>
          <w:sz w:val="24"/>
          <w:szCs w:val="24"/>
        </w:rPr>
        <w:t>Purpose</w:t>
      </w:r>
    </w:p>
    <w:p w14:paraId="166F1402" w14:textId="7F8CABC0" w:rsidR="00AB634B" w:rsidRPr="00AB634B" w:rsidRDefault="00AB634B" w:rsidP="00AB634B">
      <w:pPr>
        <w:rPr>
          <w:b/>
          <w:sz w:val="24"/>
          <w:szCs w:val="24"/>
        </w:rPr>
      </w:pPr>
      <w:r w:rsidRPr="0044386C">
        <w:t xml:space="preserve">The purpose of this policy </w:t>
      </w:r>
      <w:r>
        <w:t xml:space="preserve">is to help </w:t>
      </w:r>
      <w:r w:rsidRPr="0044386C">
        <w:t xml:space="preserve">ensure all employees of the </w:t>
      </w:r>
      <w:r w:rsidR="007A5E7B">
        <w:t>c</w:t>
      </w:r>
      <w:r w:rsidRPr="0044386C">
        <w:t xml:space="preserve">ompany effectively identify, </w:t>
      </w:r>
      <w:r w:rsidR="00F63F93">
        <w:t xml:space="preserve">avoid, </w:t>
      </w:r>
      <w:r w:rsidRPr="0044386C">
        <w:t xml:space="preserve">disclose and manage actual, potential or perceived conflicts of interest. </w:t>
      </w:r>
    </w:p>
    <w:p w14:paraId="68E4E3C2" w14:textId="773BAB80" w:rsidR="00AB634B" w:rsidRPr="0044386C" w:rsidRDefault="00AB634B" w:rsidP="00AB634B">
      <w:r>
        <w:rPr>
          <w:lang w:val="en-US"/>
        </w:rPr>
        <w:t xml:space="preserve">The </w:t>
      </w:r>
      <w:r w:rsidR="007A5E7B">
        <w:rPr>
          <w:lang w:val="en-US"/>
        </w:rPr>
        <w:t>c</w:t>
      </w:r>
      <w:r>
        <w:rPr>
          <w:lang w:val="en-US"/>
        </w:rPr>
        <w:t xml:space="preserve">ompany </w:t>
      </w:r>
      <w:r w:rsidRPr="00342C69">
        <w:rPr>
          <w:lang w:val="en-US"/>
        </w:rPr>
        <w:t xml:space="preserve">is committed to ensuring that conflicts of interest are identified and managed so that they do not </w:t>
      </w:r>
      <w:r>
        <w:rPr>
          <w:lang w:val="en-US"/>
        </w:rPr>
        <w:t>detrimentally affect</w:t>
      </w:r>
      <w:r w:rsidRPr="00342C69">
        <w:rPr>
          <w:lang w:val="en-US"/>
        </w:rPr>
        <w:t xml:space="preserve"> the services, </w:t>
      </w:r>
      <w:r w:rsidR="00884C8D">
        <w:rPr>
          <w:lang w:val="en-US"/>
        </w:rPr>
        <w:t xml:space="preserve">products, </w:t>
      </w:r>
      <w:r w:rsidRPr="00342C69">
        <w:rPr>
          <w:lang w:val="en-US"/>
        </w:rPr>
        <w:t xml:space="preserve">activities or decisions of the </w:t>
      </w:r>
      <w:r w:rsidR="007A5E7B">
        <w:rPr>
          <w:lang w:val="en-US"/>
        </w:rPr>
        <w:t>company</w:t>
      </w:r>
      <w:r w:rsidRPr="00342C69">
        <w:rPr>
          <w:lang w:val="en-US"/>
        </w:rPr>
        <w:t>.</w:t>
      </w:r>
    </w:p>
    <w:p w14:paraId="300270E1" w14:textId="77777777" w:rsidR="00AB634B" w:rsidRPr="00AB634B" w:rsidRDefault="00AB634B" w:rsidP="00AB634B">
      <w:pPr>
        <w:rPr>
          <w:b/>
          <w:sz w:val="24"/>
          <w:szCs w:val="24"/>
        </w:rPr>
      </w:pPr>
      <w:r w:rsidRPr="00AB634B">
        <w:rPr>
          <w:b/>
          <w:sz w:val="24"/>
          <w:szCs w:val="24"/>
        </w:rPr>
        <w:t>Policy</w:t>
      </w:r>
    </w:p>
    <w:p w14:paraId="713F32AE" w14:textId="3542A26C" w:rsidR="00AB634B" w:rsidRPr="00AB634B" w:rsidRDefault="00AB634B" w:rsidP="00AB634B">
      <w:pPr>
        <w:rPr>
          <w:lang w:val="en-US"/>
        </w:rPr>
      </w:pPr>
      <w:r>
        <w:rPr>
          <w:lang w:val="en-US"/>
        </w:rPr>
        <w:t xml:space="preserve">All employees of the </w:t>
      </w:r>
      <w:r w:rsidR="007A5E7B">
        <w:rPr>
          <w:lang w:val="en-US"/>
        </w:rPr>
        <w:t>c</w:t>
      </w:r>
      <w:r>
        <w:rPr>
          <w:lang w:val="en-US"/>
        </w:rPr>
        <w:t xml:space="preserve">ompany owe a legal duty to the </w:t>
      </w:r>
      <w:r w:rsidR="007A5E7B">
        <w:rPr>
          <w:lang w:val="en-US"/>
        </w:rPr>
        <w:t>c</w:t>
      </w:r>
      <w:r>
        <w:rPr>
          <w:lang w:val="en-US"/>
        </w:rPr>
        <w:t xml:space="preserve">ompany to act in the best interests of the </w:t>
      </w:r>
      <w:r w:rsidR="007A5E7B">
        <w:rPr>
          <w:lang w:val="en-US"/>
        </w:rPr>
        <w:t>c</w:t>
      </w:r>
      <w:r>
        <w:rPr>
          <w:lang w:val="en-US"/>
        </w:rPr>
        <w:t>ompany in the performance of their duties.</w:t>
      </w:r>
    </w:p>
    <w:p w14:paraId="229540B1" w14:textId="52A5E039" w:rsidR="00AB634B" w:rsidRPr="00AB634B" w:rsidRDefault="00AB634B" w:rsidP="00AB634B">
      <w:r w:rsidRPr="00AA23CA">
        <w:t xml:space="preserve">It is the responsibility of all employees of </w:t>
      </w:r>
      <w:r>
        <w:t xml:space="preserve">the </w:t>
      </w:r>
      <w:r w:rsidR="007A5E7B">
        <w:t>c</w:t>
      </w:r>
      <w:r>
        <w:t xml:space="preserve">ompany </w:t>
      </w:r>
      <w:r w:rsidRPr="00AA23CA">
        <w:t xml:space="preserve">to act in a manner which will avoid actual, potential or perceived conflicts of interest, and to manage and report conflicts of interest as outlined in this </w:t>
      </w:r>
      <w:r>
        <w:t xml:space="preserve">policy. </w:t>
      </w:r>
    </w:p>
    <w:p w14:paraId="3DA9E556" w14:textId="06EBD227" w:rsidR="00AB634B" w:rsidRPr="00AB634B" w:rsidRDefault="00AB634B" w:rsidP="00AB634B">
      <w:pPr>
        <w:rPr>
          <w:b/>
          <w:sz w:val="24"/>
          <w:szCs w:val="24"/>
        </w:rPr>
      </w:pPr>
      <w:r w:rsidRPr="00AB634B">
        <w:rPr>
          <w:b/>
          <w:sz w:val="24"/>
          <w:szCs w:val="24"/>
        </w:rPr>
        <w:t xml:space="preserve">Application of </w:t>
      </w:r>
      <w:r>
        <w:rPr>
          <w:b/>
          <w:sz w:val="24"/>
          <w:szCs w:val="24"/>
        </w:rPr>
        <w:t xml:space="preserve">this </w:t>
      </w:r>
      <w:r w:rsidRPr="00AB634B">
        <w:rPr>
          <w:b/>
          <w:sz w:val="24"/>
          <w:szCs w:val="24"/>
        </w:rPr>
        <w:t>policy</w:t>
      </w:r>
    </w:p>
    <w:p w14:paraId="7749C02E" w14:textId="45746530" w:rsidR="00AB634B" w:rsidRDefault="00AB634B" w:rsidP="00AB634B">
      <w:r>
        <w:t>This policy applies to a</w:t>
      </w:r>
      <w:r w:rsidRPr="00342C69">
        <w:t xml:space="preserve">ll employees </w:t>
      </w:r>
      <w:r>
        <w:t xml:space="preserve">and contractors </w:t>
      </w:r>
      <w:r w:rsidRPr="00342C69">
        <w:t>of the company including executives and managers.</w:t>
      </w:r>
    </w:p>
    <w:p w14:paraId="635E9853" w14:textId="77777777" w:rsidR="00AB634B" w:rsidRPr="00AB634B" w:rsidRDefault="00AB634B" w:rsidP="00AB634B">
      <w:pPr>
        <w:rPr>
          <w:b/>
          <w:sz w:val="24"/>
          <w:szCs w:val="24"/>
        </w:rPr>
      </w:pPr>
      <w:r w:rsidRPr="00AB634B">
        <w:rPr>
          <w:b/>
          <w:sz w:val="24"/>
          <w:szCs w:val="24"/>
        </w:rPr>
        <w:t>Conflict of Interest - definition</w:t>
      </w:r>
    </w:p>
    <w:p w14:paraId="79482CD6" w14:textId="1D5AAD25" w:rsidR="00AB634B" w:rsidRPr="00AB634B" w:rsidRDefault="00AB634B" w:rsidP="00AB634B">
      <w:pPr>
        <w:rPr>
          <w:lang w:val="en-US"/>
        </w:rPr>
      </w:pPr>
      <w:r>
        <w:t xml:space="preserve">Conflicts of interest take various forms. Conflicts of interest arise where competing interests are involved in the same situation. </w:t>
      </w:r>
      <w:r>
        <w:rPr>
          <w:lang w:val="en-US"/>
        </w:rPr>
        <w:t>Conflicts of interest may be actual, potential or perceived, and they may be financial or non-financial.</w:t>
      </w:r>
    </w:p>
    <w:p w14:paraId="60ED0BFF" w14:textId="0C11AA8A" w:rsidR="00AB634B" w:rsidRPr="00902529" w:rsidRDefault="00AB634B" w:rsidP="00AB634B">
      <w:r w:rsidRPr="00902529">
        <w:t>Examples of potential conflicts of interest include</w:t>
      </w:r>
      <w:r>
        <w:t>, but are not limited to</w:t>
      </w:r>
      <w:r w:rsidRPr="00902529">
        <w:t>:</w:t>
      </w:r>
    </w:p>
    <w:p w14:paraId="00F21207" w14:textId="77777777" w:rsidR="00AB634B" w:rsidRPr="00664628" w:rsidRDefault="00AB634B" w:rsidP="00AB634B">
      <w:pPr>
        <w:pStyle w:val="ListParagraph"/>
        <w:numPr>
          <w:ilvl w:val="0"/>
          <w:numId w:val="11"/>
        </w:numPr>
        <w:spacing w:after="0" w:line="240" w:lineRule="auto"/>
      </w:pPr>
      <w:r w:rsidRPr="00664628">
        <w:t>Personal relationships between two co-workers.</w:t>
      </w:r>
    </w:p>
    <w:p w14:paraId="61AA4898" w14:textId="1E8878DD" w:rsidR="00AB634B" w:rsidRPr="00664628" w:rsidRDefault="00AB634B" w:rsidP="00AB634B">
      <w:pPr>
        <w:pStyle w:val="ListParagraph"/>
        <w:numPr>
          <w:ilvl w:val="0"/>
          <w:numId w:val="11"/>
        </w:numPr>
        <w:spacing w:after="0" w:line="240" w:lineRule="auto"/>
      </w:pPr>
      <w:r w:rsidRPr="00664628">
        <w:t xml:space="preserve">Personal relationships between an employee of the </w:t>
      </w:r>
      <w:r w:rsidR="002E7429">
        <w:t>c</w:t>
      </w:r>
      <w:r w:rsidRPr="00664628">
        <w:t xml:space="preserve">ompany and an employee of a supplier or client of the </w:t>
      </w:r>
      <w:r w:rsidR="002E7429">
        <w:t>c</w:t>
      </w:r>
      <w:r w:rsidRPr="00664628">
        <w:t>ompany.</w:t>
      </w:r>
    </w:p>
    <w:p w14:paraId="5CAFD5F2" w14:textId="77777777" w:rsidR="00AB634B" w:rsidRPr="00664628" w:rsidRDefault="00AB634B" w:rsidP="00AB634B">
      <w:pPr>
        <w:pStyle w:val="ListParagraph"/>
        <w:numPr>
          <w:ilvl w:val="0"/>
          <w:numId w:val="11"/>
        </w:numPr>
        <w:spacing w:after="0" w:line="240" w:lineRule="auto"/>
      </w:pPr>
      <w:r w:rsidRPr="00664628">
        <w:rPr>
          <w:lang w:val="en-US"/>
        </w:rPr>
        <w:lastRenderedPageBreak/>
        <w:t>Purchasing goods or services supplied by the family business of a worker, or family company, relative or close friend.</w:t>
      </w:r>
    </w:p>
    <w:p w14:paraId="60AF8B57" w14:textId="77777777" w:rsidR="00AB634B" w:rsidRPr="00664628" w:rsidRDefault="00AB634B" w:rsidP="00AB634B">
      <w:pPr>
        <w:pStyle w:val="ListParagraph"/>
        <w:numPr>
          <w:ilvl w:val="0"/>
          <w:numId w:val="11"/>
        </w:numPr>
        <w:spacing w:after="0" w:line="240" w:lineRule="auto"/>
      </w:pPr>
      <w:r w:rsidRPr="00664628">
        <w:rPr>
          <w:lang w:val="en-US"/>
        </w:rPr>
        <w:t xml:space="preserve">Participating in a tender </w:t>
      </w:r>
      <w:r>
        <w:rPr>
          <w:lang w:val="en-US"/>
        </w:rPr>
        <w:t>process f</w:t>
      </w:r>
      <w:r w:rsidRPr="00664628">
        <w:rPr>
          <w:lang w:val="en-US"/>
        </w:rPr>
        <w:t>or goods or services where a relative or friend will be submitting a bid</w:t>
      </w:r>
      <w:r>
        <w:rPr>
          <w:lang w:val="en-US"/>
        </w:rPr>
        <w:t>.</w:t>
      </w:r>
      <w:r w:rsidRPr="00664628">
        <w:rPr>
          <w:lang w:val="en-US"/>
        </w:rPr>
        <w:t xml:space="preserve"> </w:t>
      </w:r>
    </w:p>
    <w:p w14:paraId="49816E0F" w14:textId="098D6FC6" w:rsidR="00AB634B" w:rsidRPr="00D87799" w:rsidRDefault="00AB634B" w:rsidP="00AB634B">
      <w:pPr>
        <w:pStyle w:val="ListParagraph"/>
        <w:numPr>
          <w:ilvl w:val="0"/>
          <w:numId w:val="11"/>
        </w:numPr>
        <w:spacing w:after="0" w:line="240" w:lineRule="auto"/>
      </w:pPr>
      <w:r w:rsidRPr="00664628">
        <w:rPr>
          <w:lang w:val="en-US"/>
        </w:rPr>
        <w:t xml:space="preserve">Involvement in selection of a relative or friend as an employee of the </w:t>
      </w:r>
      <w:r w:rsidR="002E7429">
        <w:rPr>
          <w:lang w:val="en-US"/>
        </w:rPr>
        <w:t>c</w:t>
      </w:r>
      <w:r w:rsidRPr="00664628">
        <w:rPr>
          <w:lang w:val="en-US"/>
        </w:rPr>
        <w:t>ompany.</w:t>
      </w:r>
    </w:p>
    <w:p w14:paraId="05680D0B" w14:textId="77777777" w:rsidR="00AB634B" w:rsidRDefault="00AB634B" w:rsidP="00AB634B">
      <w:pPr>
        <w:pStyle w:val="ListParagraph"/>
        <w:numPr>
          <w:ilvl w:val="0"/>
          <w:numId w:val="11"/>
        </w:numPr>
        <w:spacing w:after="0" w:line="240" w:lineRule="auto"/>
      </w:pPr>
      <w:r>
        <w:t>Accepting gifts and benefits from suppliers.</w:t>
      </w:r>
    </w:p>
    <w:p w14:paraId="03C91F70" w14:textId="00C50402" w:rsidR="00AB634B" w:rsidRPr="0063562F" w:rsidRDefault="00AB634B" w:rsidP="00AB634B">
      <w:pPr>
        <w:pStyle w:val="ListParagraph"/>
        <w:numPr>
          <w:ilvl w:val="0"/>
          <w:numId w:val="11"/>
        </w:numPr>
        <w:spacing w:after="0" w:line="240" w:lineRule="auto"/>
      </w:pPr>
      <w:r w:rsidRPr="001F32D8">
        <w:t xml:space="preserve">Secondary employment which could or might reasonably be considered by others to impair the </w:t>
      </w:r>
      <w:r>
        <w:t>e</w:t>
      </w:r>
      <w:r w:rsidRPr="001F32D8">
        <w:t xml:space="preserve">mployee’s ability to act in the best interests of the </w:t>
      </w:r>
      <w:r w:rsidR="002E7429">
        <w:t>c</w:t>
      </w:r>
      <w:r w:rsidRPr="001F32D8">
        <w:t>ompany</w:t>
      </w:r>
      <w:r>
        <w:t>.</w:t>
      </w:r>
    </w:p>
    <w:p w14:paraId="400374EA" w14:textId="77777777" w:rsidR="00AB634B" w:rsidRDefault="00AB634B" w:rsidP="00AB634B">
      <w:pPr>
        <w:rPr>
          <w:b/>
        </w:rPr>
      </w:pPr>
    </w:p>
    <w:p w14:paraId="55C7C741" w14:textId="0FB8CFAA" w:rsidR="00AB634B" w:rsidRPr="00AB634B" w:rsidRDefault="00AB634B" w:rsidP="00AB634B">
      <w:pPr>
        <w:rPr>
          <w:b/>
          <w:sz w:val="24"/>
          <w:szCs w:val="24"/>
        </w:rPr>
      </w:pPr>
      <w:r w:rsidRPr="00AB634B">
        <w:rPr>
          <w:b/>
          <w:sz w:val="24"/>
          <w:szCs w:val="24"/>
        </w:rPr>
        <w:t>Procedures</w:t>
      </w:r>
    </w:p>
    <w:p w14:paraId="1FD6530B" w14:textId="62397402" w:rsidR="00AB634B" w:rsidRDefault="00AB634B" w:rsidP="00AB634B">
      <w:r w:rsidRPr="00902529">
        <w:t xml:space="preserve">If a conflict of interest emerges during the course of </w:t>
      </w:r>
      <w:r>
        <w:t>an</w:t>
      </w:r>
      <w:r w:rsidRPr="00902529">
        <w:t xml:space="preserve"> </w:t>
      </w:r>
      <w:r>
        <w:t>e</w:t>
      </w:r>
      <w:r w:rsidRPr="00902529">
        <w:t xml:space="preserve">mployee’s employment, the </w:t>
      </w:r>
      <w:r>
        <w:t>e</w:t>
      </w:r>
      <w:r w:rsidRPr="00902529">
        <w:t xml:space="preserve">mployee must notify </w:t>
      </w:r>
      <w:r>
        <w:t>[</w:t>
      </w:r>
      <w:r w:rsidRPr="00902529">
        <w:rPr>
          <w:i/>
        </w:rPr>
        <w:t xml:space="preserve">insert as appropriate…Human Resources/the </w:t>
      </w:r>
      <w:r w:rsidR="002E7429">
        <w:rPr>
          <w:i/>
        </w:rPr>
        <w:t>c</w:t>
      </w:r>
      <w:r w:rsidRPr="00902529">
        <w:rPr>
          <w:i/>
        </w:rPr>
        <w:t>ompany/Management</w:t>
      </w:r>
      <w:r w:rsidR="00884C8D">
        <w:rPr>
          <w:i/>
        </w:rPr>
        <w:t>/</w:t>
      </w:r>
      <w:r w:rsidR="002E7429">
        <w:rPr>
          <w:i/>
        </w:rPr>
        <w:t xml:space="preserve">the </w:t>
      </w:r>
      <w:bookmarkStart w:id="0" w:name="_GoBack"/>
      <w:bookmarkEnd w:id="0"/>
      <w:r w:rsidR="00884C8D">
        <w:rPr>
          <w:i/>
        </w:rPr>
        <w:t>Company Secretary</w:t>
      </w:r>
      <w:r>
        <w:t xml:space="preserve">] </w:t>
      </w:r>
      <w:r w:rsidRPr="00902529">
        <w:t>immediately</w:t>
      </w:r>
      <w:r w:rsidR="007A5E7B">
        <w:t>. F</w:t>
      </w:r>
      <w:r w:rsidRPr="00902529">
        <w:t xml:space="preserve">ailure to do so may prejudice continued employment with the </w:t>
      </w:r>
      <w:r w:rsidR="00884C8D">
        <w:t>c</w:t>
      </w:r>
      <w:r w:rsidRPr="00902529">
        <w:t xml:space="preserve">ompany. </w:t>
      </w:r>
    </w:p>
    <w:p w14:paraId="3C6F01B6" w14:textId="7819C8DE" w:rsidR="00AB634B" w:rsidRDefault="00AB634B" w:rsidP="00AB634B">
      <w:pPr>
        <w:rPr>
          <w:lang w:val="en-US"/>
        </w:rPr>
      </w:pPr>
      <w:r>
        <w:t xml:space="preserve">Upon notification </w:t>
      </w:r>
      <w:r w:rsidR="007A5E7B">
        <w:t>the company</w:t>
      </w:r>
      <w:r>
        <w:t xml:space="preserve"> </w:t>
      </w:r>
      <w:r w:rsidRPr="001F32D8">
        <w:rPr>
          <w:lang w:val="en-US"/>
        </w:rPr>
        <w:t xml:space="preserve">will </w:t>
      </w:r>
      <w:r>
        <w:rPr>
          <w:lang w:val="en-US"/>
        </w:rPr>
        <w:t>undertake appropriate inquiries</w:t>
      </w:r>
      <w:r w:rsidR="007A5E7B">
        <w:rPr>
          <w:lang w:val="en-US"/>
        </w:rPr>
        <w:t>,</w:t>
      </w:r>
      <w:r>
        <w:rPr>
          <w:lang w:val="en-US"/>
        </w:rPr>
        <w:t xml:space="preserve"> and </w:t>
      </w:r>
      <w:r w:rsidR="007A5E7B">
        <w:rPr>
          <w:lang w:val="en-US"/>
        </w:rPr>
        <w:t xml:space="preserve">if a conflict exists, </w:t>
      </w:r>
      <w:r w:rsidRPr="001F32D8">
        <w:rPr>
          <w:lang w:val="en-US"/>
        </w:rPr>
        <w:t>prepare a conflict of interest management plan</w:t>
      </w:r>
      <w:r w:rsidR="007A5E7B">
        <w:rPr>
          <w:lang w:val="en-US"/>
        </w:rPr>
        <w:t>.</w:t>
      </w:r>
    </w:p>
    <w:p w14:paraId="77067C03" w14:textId="38654B50" w:rsidR="007A5E7B" w:rsidRDefault="007A5E7B" w:rsidP="00AB634B">
      <w:pPr>
        <w:rPr>
          <w:lang w:val="en-US"/>
        </w:rPr>
      </w:pPr>
      <w:r>
        <w:rPr>
          <w:lang w:val="en-US"/>
        </w:rPr>
        <w:t>Company management may issue instructions and directions to the employee in relation to a related matter</w:t>
      </w:r>
      <w:r w:rsidRPr="001F32D8">
        <w:rPr>
          <w:lang w:val="en-US"/>
        </w:rPr>
        <w:t>.</w:t>
      </w:r>
    </w:p>
    <w:p w14:paraId="1086343C" w14:textId="1829D9DD" w:rsidR="00AB634B" w:rsidRPr="00AB634B" w:rsidRDefault="00AB634B" w:rsidP="00AB634B">
      <w:r w:rsidRPr="006676F3">
        <w:t>If no conflict exists, the inquiry may be documented but no further action will be taken.</w:t>
      </w:r>
    </w:p>
    <w:p w14:paraId="0526A2EA" w14:textId="1897BD51" w:rsidR="00AB634B" w:rsidRDefault="00AB634B" w:rsidP="00AB634B">
      <w:r w:rsidRPr="001F32D8">
        <w:rPr>
          <w:lang w:val="en-US"/>
        </w:rPr>
        <w:t xml:space="preserve">The employee </w:t>
      </w:r>
      <w:r>
        <w:rPr>
          <w:lang w:val="en-US"/>
        </w:rPr>
        <w:t xml:space="preserve">or contractor </w:t>
      </w:r>
      <w:r w:rsidRPr="001F32D8">
        <w:rPr>
          <w:lang w:val="en-US"/>
        </w:rPr>
        <w:t xml:space="preserve">has a responsibility to discuss any proposed conflict of interest management plan with </w:t>
      </w:r>
      <w:r>
        <w:rPr>
          <w:lang w:val="en-US"/>
        </w:rPr>
        <w:t>company management</w:t>
      </w:r>
      <w:r w:rsidRPr="001F32D8">
        <w:rPr>
          <w:lang w:val="en-US"/>
        </w:rPr>
        <w:t>.</w:t>
      </w:r>
    </w:p>
    <w:p w14:paraId="01AECAA7" w14:textId="2BBC53D1" w:rsidR="00AB634B" w:rsidRDefault="00AB634B" w:rsidP="00AB634B">
      <w:r>
        <w:t xml:space="preserve">Any such </w:t>
      </w:r>
      <w:r w:rsidR="007A5E7B">
        <w:t xml:space="preserve">notifications and </w:t>
      </w:r>
      <w:r>
        <w:t xml:space="preserve">disclosures shall be treated confidentially. </w:t>
      </w:r>
    </w:p>
    <w:p w14:paraId="29A1267C" w14:textId="77777777" w:rsidR="00AB634B" w:rsidRPr="00AB634B" w:rsidRDefault="00AB634B" w:rsidP="00AB634B">
      <w:pPr>
        <w:rPr>
          <w:b/>
          <w:sz w:val="24"/>
          <w:szCs w:val="24"/>
        </w:rPr>
      </w:pPr>
      <w:r w:rsidRPr="00AB634B">
        <w:rPr>
          <w:b/>
          <w:sz w:val="24"/>
          <w:szCs w:val="24"/>
        </w:rPr>
        <w:t>Consequences of breaching this policy</w:t>
      </w:r>
    </w:p>
    <w:p w14:paraId="21AB22D7" w14:textId="7E4BF411" w:rsidR="00AB634B" w:rsidRPr="00AB634B" w:rsidRDefault="00AB634B" w:rsidP="00AB634B">
      <w:pPr>
        <w:rPr>
          <w:lang w:val="en-US"/>
        </w:rPr>
      </w:pPr>
      <w:r w:rsidRPr="00D87799">
        <w:rPr>
          <w:lang w:val="en-US"/>
        </w:rPr>
        <w:t>Having a conflict of interest does not necessarily amount to a breach of this policy. However, failure to disclose a conflict of interest may constitute a breach.</w:t>
      </w:r>
    </w:p>
    <w:p w14:paraId="4F744142" w14:textId="42DF2271" w:rsidR="00AB634B" w:rsidRPr="00AB634B" w:rsidRDefault="00AB634B" w:rsidP="00AB634B">
      <w:r>
        <w:t>Sometimes a conflict of interest cannot be avoided or is not in fact misconduct. Therefore, it is important that any conflict of interest, whether actual or perceived, be reported to determine the best approach to managing the issue.</w:t>
      </w:r>
    </w:p>
    <w:p w14:paraId="0AB7B376" w14:textId="0539230B" w:rsidR="00AB634B" w:rsidRPr="00AB634B" w:rsidRDefault="00AB634B" w:rsidP="00AB634B">
      <w:pPr>
        <w:rPr>
          <w:lang w:val="en-US"/>
        </w:rPr>
      </w:pPr>
      <w:r>
        <w:rPr>
          <w:lang w:val="en-US"/>
        </w:rPr>
        <w:t>However, a deliberate breach or a failure</w:t>
      </w:r>
      <w:r w:rsidRPr="00D87799">
        <w:rPr>
          <w:lang w:val="en-US"/>
        </w:rPr>
        <w:t xml:space="preserve"> to identify (or, where required, manage/monitor) </w:t>
      </w:r>
      <w:r>
        <w:rPr>
          <w:lang w:val="en-US"/>
        </w:rPr>
        <w:t xml:space="preserve">and or notify </w:t>
      </w:r>
      <w:r w:rsidRPr="00D87799">
        <w:rPr>
          <w:lang w:val="en-US"/>
        </w:rPr>
        <w:t>any</w:t>
      </w:r>
      <w:r>
        <w:rPr>
          <w:lang w:val="en-US"/>
        </w:rPr>
        <w:t xml:space="preserve"> </w:t>
      </w:r>
      <w:r w:rsidRPr="00D87799">
        <w:rPr>
          <w:lang w:val="en-US"/>
        </w:rPr>
        <w:t>actual/perceived/potential conflict of interest, may result in disciplinary action or, depending on the seriousness of the circumstances, termination of employment.</w:t>
      </w:r>
    </w:p>
    <w:p w14:paraId="0BEFFF37" w14:textId="7C02163D" w:rsidR="00AB634B" w:rsidRPr="00AB634B" w:rsidRDefault="00AB634B" w:rsidP="00AB634B">
      <w:pPr>
        <w:rPr>
          <w:lang w:val="en-US"/>
        </w:rPr>
      </w:pPr>
      <w:r>
        <w:rPr>
          <w:lang w:val="en-US"/>
        </w:rPr>
        <w:t>Any person to whom this policy applies who breaches this policy or who coerces or assists another person to breach this policy may be subject to disciplinary action.</w:t>
      </w:r>
    </w:p>
    <w:p w14:paraId="111EA3BF" w14:textId="77777777" w:rsidR="00AB634B" w:rsidRPr="00381FD6" w:rsidRDefault="00AB634B" w:rsidP="00AB634B">
      <w:pPr>
        <w:spacing w:after="0" w:line="240" w:lineRule="auto"/>
        <w:rPr>
          <w:b/>
          <w:sz w:val="24"/>
          <w:szCs w:val="24"/>
        </w:rPr>
      </w:pPr>
      <w:r w:rsidRPr="00381FD6">
        <w:rPr>
          <w:b/>
          <w:sz w:val="24"/>
          <w:szCs w:val="24"/>
        </w:rPr>
        <w:t>Implementation</w:t>
      </w:r>
    </w:p>
    <w:p w14:paraId="377A3967" w14:textId="77777777" w:rsidR="00F63F93" w:rsidRDefault="00AB634B" w:rsidP="00AB634B">
      <w:pPr>
        <w:spacing w:after="0" w:line="240" w:lineRule="auto"/>
        <w:rPr>
          <w:lang w:val="en-US"/>
        </w:rPr>
      </w:pPr>
      <w:r w:rsidRPr="00381FD6">
        <w:rPr>
          <w:lang w:val="en-US"/>
        </w:rPr>
        <w:t xml:space="preserve">The company will ensure that this policy is widely disseminated to all relevant persons. </w:t>
      </w:r>
    </w:p>
    <w:p w14:paraId="5F7C83CB" w14:textId="64554D10" w:rsidR="00AB634B" w:rsidRDefault="00F63F93" w:rsidP="00AB634B">
      <w:pPr>
        <w:spacing w:after="0" w:line="240" w:lineRule="auto"/>
        <w:rPr>
          <w:lang w:val="en-US"/>
        </w:rPr>
      </w:pPr>
      <w:r>
        <w:rPr>
          <w:lang w:val="en-US"/>
        </w:rPr>
        <w:t>[</w:t>
      </w:r>
      <w:r w:rsidR="00AB634B" w:rsidRPr="00F63F93">
        <w:rPr>
          <w:i/>
          <w:lang w:val="en-US"/>
        </w:rPr>
        <w:t>It will be included in the staff handbook.</w:t>
      </w:r>
      <w:r>
        <w:rPr>
          <w:lang w:val="en-US"/>
        </w:rPr>
        <w:t>]</w:t>
      </w:r>
    </w:p>
    <w:p w14:paraId="46D8DF6F" w14:textId="2D68587A" w:rsidR="00AB634B" w:rsidRDefault="00AB634B" w:rsidP="00AB634B">
      <w:pPr>
        <w:spacing w:after="0" w:line="240" w:lineRule="auto"/>
        <w:rPr>
          <w:lang w:val="en-US"/>
        </w:rPr>
      </w:pPr>
    </w:p>
    <w:p w14:paraId="17170ACD" w14:textId="6A062313" w:rsidR="00BF046B" w:rsidRDefault="00BF046B" w:rsidP="00AB634B">
      <w:pPr>
        <w:spacing w:after="0" w:line="240" w:lineRule="auto"/>
        <w:rPr>
          <w:lang w:val="en-US"/>
        </w:rPr>
      </w:pPr>
    </w:p>
    <w:p w14:paraId="087C907C" w14:textId="77777777" w:rsidR="00BF046B" w:rsidRPr="00381FD6" w:rsidRDefault="00BF046B" w:rsidP="00AB634B">
      <w:pPr>
        <w:spacing w:after="0" w:line="240" w:lineRule="auto"/>
        <w:rPr>
          <w:lang w:val="en-US"/>
        </w:rPr>
      </w:pPr>
    </w:p>
    <w:p w14:paraId="09007341" w14:textId="77777777" w:rsidR="00AB634B" w:rsidRPr="00381FD6" w:rsidRDefault="00AB634B" w:rsidP="00AB634B">
      <w:pPr>
        <w:spacing w:after="0" w:line="240" w:lineRule="auto"/>
        <w:rPr>
          <w:b/>
          <w:sz w:val="24"/>
          <w:szCs w:val="24"/>
        </w:rPr>
      </w:pPr>
      <w:r w:rsidRPr="00381FD6">
        <w:rPr>
          <w:b/>
          <w:sz w:val="24"/>
          <w:szCs w:val="24"/>
        </w:rPr>
        <w:lastRenderedPageBreak/>
        <w:t>Further assistance</w:t>
      </w:r>
    </w:p>
    <w:p w14:paraId="79B4A23B" w14:textId="771C19AB" w:rsidR="00AB634B" w:rsidRPr="00381FD6" w:rsidRDefault="00AB634B" w:rsidP="00AB634B">
      <w:r w:rsidRPr="00381FD6">
        <w:t>Any employee who requires assistance in understanding this policy should first consult their [</w:t>
      </w:r>
      <w:r w:rsidRPr="00381FD6">
        <w:rPr>
          <w:i/>
        </w:rPr>
        <w:t>supervisor, manager, human resources team</w:t>
      </w:r>
      <w:r w:rsidRPr="00381FD6">
        <w:t>].</w:t>
      </w:r>
    </w:p>
    <w:p w14:paraId="21C0B755" w14:textId="77777777" w:rsidR="00AB634B" w:rsidRPr="00AB634B" w:rsidRDefault="00AB634B" w:rsidP="00AB634B">
      <w:pPr>
        <w:spacing w:after="0" w:line="240" w:lineRule="auto"/>
        <w:rPr>
          <w:b/>
          <w:sz w:val="24"/>
          <w:szCs w:val="24"/>
        </w:rPr>
      </w:pPr>
      <w:r w:rsidRPr="00AB634B">
        <w:rPr>
          <w:b/>
          <w:sz w:val="24"/>
          <w:szCs w:val="24"/>
        </w:rPr>
        <w:t>Policy Review</w:t>
      </w:r>
    </w:p>
    <w:p w14:paraId="79460221" w14:textId="77777777" w:rsidR="00AB634B" w:rsidRPr="00381FD6" w:rsidRDefault="00AB634B" w:rsidP="00AB634B">
      <w:pPr>
        <w:spacing w:after="0" w:line="240" w:lineRule="auto"/>
      </w:pPr>
      <w:r w:rsidRPr="00381FD6">
        <w:t xml:space="preserve">This policy must be reviewed and where appropriate amended by </w:t>
      </w:r>
      <w:r w:rsidRPr="00381FD6">
        <w:rPr>
          <w:i/>
          <w:iCs/>
        </w:rPr>
        <w:t>[insert name/title/committee name]</w:t>
      </w:r>
      <w:r w:rsidRPr="00381FD6">
        <w:t xml:space="preserve"> every 2 years or sooner.</w:t>
      </w:r>
    </w:p>
    <w:p w14:paraId="0DCCAC6B" w14:textId="77777777" w:rsidR="00AB634B" w:rsidRDefault="00AB634B" w:rsidP="00AB634B"/>
    <w:p w14:paraId="7FFF453B" w14:textId="77777777" w:rsidR="00AB634B" w:rsidRPr="00381FD6" w:rsidRDefault="00AB634B" w:rsidP="00AB634B">
      <w:r w:rsidRPr="00381FD6">
        <w:t>This policy commences on [</w:t>
      </w:r>
      <w:r w:rsidRPr="00381FD6">
        <w:rPr>
          <w:i/>
        </w:rPr>
        <w:t>insert date</w:t>
      </w:r>
      <w:r w:rsidRPr="00381FD6">
        <w:t>].</w:t>
      </w:r>
    </w:p>
    <w:p w14:paraId="7F0FE9C2" w14:textId="77777777" w:rsidR="00AB634B" w:rsidRPr="00381FD6" w:rsidRDefault="00AB634B" w:rsidP="00AB634B"/>
    <w:p w14:paraId="2087A519" w14:textId="77777777" w:rsidR="00AB634B" w:rsidRPr="00381FD6" w:rsidRDefault="00AB634B" w:rsidP="00AB634B">
      <w:r w:rsidRPr="00381FD6">
        <w:t>…………………………………………………..</w:t>
      </w:r>
    </w:p>
    <w:p w14:paraId="0ED58009" w14:textId="77777777" w:rsidR="00AB634B" w:rsidRPr="00381FD6" w:rsidRDefault="00AB634B" w:rsidP="00AB634B">
      <w:pPr>
        <w:rPr>
          <w:i/>
        </w:rPr>
      </w:pPr>
      <w:r w:rsidRPr="00381FD6">
        <w:rPr>
          <w:i/>
        </w:rPr>
        <w:t>Position: [Signed by appropriate officer]</w:t>
      </w:r>
    </w:p>
    <w:p w14:paraId="2F9D857B" w14:textId="77777777" w:rsidR="00AB634B" w:rsidRPr="00381FD6" w:rsidRDefault="00AB634B" w:rsidP="00AB634B">
      <w:pPr>
        <w:rPr>
          <w:i/>
        </w:rPr>
      </w:pPr>
      <w:r w:rsidRPr="00381FD6">
        <w:rPr>
          <w:i/>
        </w:rPr>
        <w:t>Date:</w:t>
      </w:r>
    </w:p>
    <w:p w14:paraId="4916799A" w14:textId="77777777" w:rsidR="00AB634B" w:rsidRPr="00381FD6" w:rsidRDefault="00AB634B" w:rsidP="00AB634B">
      <w:r w:rsidRPr="00381FD6">
        <w:t xml:space="preserve">[Next review date: </w:t>
      </w:r>
      <w:r w:rsidRPr="00381FD6">
        <w:rPr>
          <w:i/>
        </w:rPr>
        <w:t>insert next review date</w:t>
      </w:r>
      <w:r w:rsidRPr="00381FD6">
        <w:t>]</w:t>
      </w:r>
    </w:p>
    <w:p w14:paraId="7E43F271" w14:textId="77777777" w:rsidR="00AB634B" w:rsidRPr="00342C69" w:rsidRDefault="00AB634B" w:rsidP="00AB634B"/>
    <w:p w14:paraId="55B92B54" w14:textId="48442C05" w:rsidR="00BA720F" w:rsidRDefault="00BA720F" w:rsidP="00AB634B"/>
    <w:sectPr w:rsidR="00BA720F" w:rsidSect="00CC75AE">
      <w:headerReference w:type="default" r:id="rId7"/>
      <w:footerReference w:type="default" r:id="rId8"/>
      <w:pgSz w:w="11906" w:h="16838"/>
      <w:pgMar w:top="1985"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B95D5" w14:textId="77777777" w:rsidR="00F21867" w:rsidRDefault="00F21867" w:rsidP="00BD5415">
      <w:pPr>
        <w:spacing w:after="0" w:line="240" w:lineRule="auto"/>
      </w:pPr>
      <w:r>
        <w:separator/>
      </w:r>
    </w:p>
  </w:endnote>
  <w:endnote w:type="continuationSeparator" w:id="0">
    <w:p w14:paraId="7475B56A" w14:textId="77777777" w:rsidR="00F21867" w:rsidRDefault="00F21867" w:rsidP="00BD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3B77" w14:textId="77777777" w:rsidR="00CC75AE" w:rsidRPr="00A33BD6" w:rsidRDefault="00CC75AE" w:rsidP="00CC75AE">
    <w:pPr>
      <w:pStyle w:val="Footer"/>
      <w:rPr>
        <w:sz w:val="18"/>
        <w:szCs w:val="18"/>
      </w:rPr>
    </w:pPr>
    <w:bookmarkStart w:id="1" w:name="_Hlk36725825"/>
    <w:r w:rsidRPr="00A33BD6">
      <w:rPr>
        <w:b/>
        <w:sz w:val="18"/>
        <w:szCs w:val="18"/>
      </w:rPr>
      <w:t>The Real Media Collective</w:t>
    </w:r>
    <w:r w:rsidRPr="00A33BD6">
      <w:rPr>
        <w:sz w:val="18"/>
        <w:szCs w:val="18"/>
      </w:rPr>
      <w:t xml:space="preserve"> | Suite 6, 151 Barkly Avenue, Burnley VIC 3121 | 03 9421 2206</w:t>
    </w:r>
  </w:p>
  <w:p w14:paraId="5662A2F3" w14:textId="02570652" w:rsidR="00CC75AE" w:rsidRDefault="00CC75AE" w:rsidP="00CC75AE">
    <w:pPr>
      <w:pStyle w:val="Footer"/>
    </w:pPr>
    <w:r w:rsidRPr="00A33BD6">
      <w:rPr>
        <w:rStyle w:val="Hyperlink"/>
        <w:sz w:val="18"/>
        <w:szCs w:val="18"/>
      </w:rPr>
      <w:t xml:space="preserve">therealmediacollective.com.au / therealmediacollective.co.nz </w:t>
    </w:r>
    <w:r w:rsidRPr="00A33BD6">
      <w:rPr>
        <w:sz w:val="18"/>
        <w:szCs w:val="18"/>
      </w:rPr>
      <w:t>| ABN: 13 540 235 566</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898C4" w14:textId="77777777" w:rsidR="00F21867" w:rsidRDefault="00F21867" w:rsidP="00BD5415">
      <w:pPr>
        <w:spacing w:after="0" w:line="240" w:lineRule="auto"/>
      </w:pPr>
      <w:r>
        <w:separator/>
      </w:r>
    </w:p>
  </w:footnote>
  <w:footnote w:type="continuationSeparator" w:id="0">
    <w:p w14:paraId="16F0A7F6" w14:textId="77777777" w:rsidR="00F21867" w:rsidRDefault="00F21867" w:rsidP="00BD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00A8" w14:textId="36C87AF2" w:rsidR="00BD5415" w:rsidRDefault="00BD5415" w:rsidP="00BD5415">
    <w:pPr>
      <w:pStyle w:val="Header"/>
      <w:jc w:val="right"/>
    </w:pPr>
    <w:r>
      <w:rPr>
        <w:noProof/>
      </w:rPr>
      <w:drawing>
        <wp:inline distT="0" distB="0" distL="0" distR="0" wp14:anchorId="4421575D" wp14:editId="4E216AD8">
          <wp:extent cx="1085215" cy="56070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77F9"/>
    <w:multiLevelType w:val="hybridMultilevel"/>
    <w:tmpl w:val="9AA07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50DFD"/>
    <w:multiLevelType w:val="hybridMultilevel"/>
    <w:tmpl w:val="A85C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92CB1"/>
    <w:multiLevelType w:val="hybridMultilevel"/>
    <w:tmpl w:val="7A7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56095"/>
    <w:multiLevelType w:val="hybridMultilevel"/>
    <w:tmpl w:val="DDF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B03EC"/>
    <w:multiLevelType w:val="hybridMultilevel"/>
    <w:tmpl w:val="222A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F0A8A"/>
    <w:multiLevelType w:val="hybridMultilevel"/>
    <w:tmpl w:val="2650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D4035"/>
    <w:multiLevelType w:val="hybridMultilevel"/>
    <w:tmpl w:val="C120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6037E"/>
    <w:multiLevelType w:val="hybridMultilevel"/>
    <w:tmpl w:val="71F8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964EA"/>
    <w:multiLevelType w:val="hybridMultilevel"/>
    <w:tmpl w:val="61A6A34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67EC27F3"/>
    <w:multiLevelType w:val="hybridMultilevel"/>
    <w:tmpl w:val="98C8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D0809"/>
    <w:multiLevelType w:val="hybridMultilevel"/>
    <w:tmpl w:val="F638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0"/>
  </w:num>
  <w:num w:numId="5">
    <w:abstractNumId w:val="1"/>
  </w:num>
  <w:num w:numId="6">
    <w:abstractNumId w:val="2"/>
  </w:num>
  <w:num w:numId="7">
    <w:abstractNumId w:val="4"/>
  </w:num>
  <w:num w:numId="8">
    <w:abstractNumId w:val="3"/>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0F"/>
    <w:rsid w:val="000034CF"/>
    <w:rsid w:val="000564B6"/>
    <w:rsid w:val="000B6775"/>
    <w:rsid w:val="000F0581"/>
    <w:rsid w:val="000F52E0"/>
    <w:rsid w:val="0011239D"/>
    <w:rsid w:val="00142344"/>
    <w:rsid w:val="00170852"/>
    <w:rsid w:val="001A47F5"/>
    <w:rsid w:val="001B2AA6"/>
    <w:rsid w:val="00206ED0"/>
    <w:rsid w:val="00250616"/>
    <w:rsid w:val="00275DA6"/>
    <w:rsid w:val="002852C3"/>
    <w:rsid w:val="002E7429"/>
    <w:rsid w:val="0031025F"/>
    <w:rsid w:val="00311BC9"/>
    <w:rsid w:val="00331890"/>
    <w:rsid w:val="00331B7D"/>
    <w:rsid w:val="00355BB7"/>
    <w:rsid w:val="003B575A"/>
    <w:rsid w:val="0041781B"/>
    <w:rsid w:val="004252B4"/>
    <w:rsid w:val="00436788"/>
    <w:rsid w:val="004A70E0"/>
    <w:rsid w:val="004B651D"/>
    <w:rsid w:val="0050670E"/>
    <w:rsid w:val="005B4174"/>
    <w:rsid w:val="005C4723"/>
    <w:rsid w:val="00616BB1"/>
    <w:rsid w:val="00682680"/>
    <w:rsid w:val="006B29C8"/>
    <w:rsid w:val="007657E9"/>
    <w:rsid w:val="007A5E7B"/>
    <w:rsid w:val="008017B5"/>
    <w:rsid w:val="00851699"/>
    <w:rsid w:val="00861466"/>
    <w:rsid w:val="00884C8D"/>
    <w:rsid w:val="00885B6E"/>
    <w:rsid w:val="008D2002"/>
    <w:rsid w:val="008F16C4"/>
    <w:rsid w:val="009431DB"/>
    <w:rsid w:val="009703C4"/>
    <w:rsid w:val="009C6706"/>
    <w:rsid w:val="009F657E"/>
    <w:rsid w:val="00A40B91"/>
    <w:rsid w:val="00A40E98"/>
    <w:rsid w:val="00A47AB2"/>
    <w:rsid w:val="00AB634B"/>
    <w:rsid w:val="00AD25CD"/>
    <w:rsid w:val="00B61D49"/>
    <w:rsid w:val="00BA720F"/>
    <w:rsid w:val="00BB0052"/>
    <w:rsid w:val="00BB1A4D"/>
    <w:rsid w:val="00BD5415"/>
    <w:rsid w:val="00BE083A"/>
    <w:rsid w:val="00BF046B"/>
    <w:rsid w:val="00C11CB5"/>
    <w:rsid w:val="00C3474E"/>
    <w:rsid w:val="00C53A13"/>
    <w:rsid w:val="00CA781F"/>
    <w:rsid w:val="00CC2B71"/>
    <w:rsid w:val="00CC75AE"/>
    <w:rsid w:val="00CF3CFA"/>
    <w:rsid w:val="00D035CD"/>
    <w:rsid w:val="00D33783"/>
    <w:rsid w:val="00D70FBF"/>
    <w:rsid w:val="00DE23A0"/>
    <w:rsid w:val="00DF3770"/>
    <w:rsid w:val="00E509D5"/>
    <w:rsid w:val="00E62705"/>
    <w:rsid w:val="00E9567A"/>
    <w:rsid w:val="00E972F8"/>
    <w:rsid w:val="00EB2462"/>
    <w:rsid w:val="00EC51EA"/>
    <w:rsid w:val="00F0088F"/>
    <w:rsid w:val="00F06178"/>
    <w:rsid w:val="00F21867"/>
    <w:rsid w:val="00F30C8C"/>
    <w:rsid w:val="00F63F93"/>
    <w:rsid w:val="00F64634"/>
    <w:rsid w:val="00F715C3"/>
    <w:rsid w:val="00FC3034"/>
    <w:rsid w:val="00FD5B6D"/>
    <w:rsid w:val="00FD7A3D"/>
    <w:rsid w:val="00FF0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AFC"/>
  <w15:chartTrackingRefBased/>
  <w15:docId w15:val="{93610E5D-C2A9-4881-A286-1C36A38D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14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6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20F"/>
    <w:pPr>
      <w:spacing w:after="0" w:line="240" w:lineRule="auto"/>
    </w:pPr>
  </w:style>
  <w:style w:type="character" w:customStyle="1" w:styleId="Heading2Char">
    <w:name w:val="Heading 2 Char"/>
    <w:basedOn w:val="DefaultParagraphFont"/>
    <w:link w:val="Heading2"/>
    <w:uiPriority w:val="9"/>
    <w:rsid w:val="008614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D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415"/>
  </w:style>
  <w:style w:type="paragraph" w:styleId="Footer">
    <w:name w:val="footer"/>
    <w:basedOn w:val="Normal"/>
    <w:link w:val="FooterChar"/>
    <w:uiPriority w:val="99"/>
    <w:unhideWhenUsed/>
    <w:rsid w:val="00BD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15"/>
  </w:style>
  <w:style w:type="character" w:styleId="Hyperlink">
    <w:name w:val="Hyperlink"/>
    <w:basedOn w:val="DefaultParagraphFont"/>
    <w:uiPriority w:val="99"/>
    <w:unhideWhenUsed/>
    <w:rsid w:val="00CC75AE"/>
    <w:rPr>
      <w:color w:val="0563C1" w:themeColor="hyperlink"/>
      <w:u w:val="single"/>
    </w:rPr>
  </w:style>
  <w:style w:type="paragraph" w:styleId="ListParagraph">
    <w:name w:val="List Paragraph"/>
    <w:basedOn w:val="Normal"/>
    <w:uiPriority w:val="34"/>
    <w:qFormat/>
    <w:rsid w:val="00FD7A3D"/>
    <w:pPr>
      <w:ind w:left="720"/>
      <w:contextualSpacing/>
    </w:pPr>
  </w:style>
  <w:style w:type="paragraph" w:styleId="BalloonText">
    <w:name w:val="Balloon Text"/>
    <w:basedOn w:val="Normal"/>
    <w:link w:val="BalloonTextChar"/>
    <w:uiPriority w:val="99"/>
    <w:semiHidden/>
    <w:unhideWhenUsed/>
    <w:rsid w:val="00C3474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3474E"/>
    <w:rPr>
      <w:rFonts w:ascii="Times New Roman" w:hAnsi="Times New Roman"/>
      <w:sz w:val="18"/>
      <w:szCs w:val="18"/>
    </w:rPr>
  </w:style>
  <w:style w:type="character" w:customStyle="1" w:styleId="Heading3Char">
    <w:name w:val="Heading 3 Char"/>
    <w:basedOn w:val="DefaultParagraphFont"/>
    <w:link w:val="Heading3"/>
    <w:uiPriority w:val="9"/>
    <w:rsid w:val="008F16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 IR Team</dc:creator>
  <cp:keywords/>
  <dc:description/>
  <cp:lastModifiedBy>SIERRA DELTA</cp:lastModifiedBy>
  <cp:revision>5</cp:revision>
  <dcterms:created xsi:type="dcterms:W3CDTF">2020-10-01T03:47:00Z</dcterms:created>
  <dcterms:modified xsi:type="dcterms:W3CDTF">2020-10-01T07:13:00Z</dcterms:modified>
  <cp:category/>
</cp:coreProperties>
</file>